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C4075" w14:textId="0E184152" w:rsidR="00E2661C" w:rsidRDefault="00D66EC5" w:rsidP="00737B80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B0187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INVESTE </w:t>
      </w:r>
      <w:r w:rsidR="0067200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7</w:t>
      </w:r>
      <w:r w:rsidR="00B0187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0 </w:t>
      </w:r>
      <w:r w:rsidR="00737B8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milioni</w:t>
      </w:r>
      <w:r w:rsidR="00B0187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DI EURO</w:t>
      </w:r>
      <w:r w:rsidR="00DB194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bookmarkStart w:id="1" w:name="_Hlk80798474"/>
      <w:r w:rsidR="0045290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per </w:t>
      </w:r>
      <w:r w:rsidR="00B2643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la nuova</w:t>
      </w:r>
      <w:r w:rsidR="006E77C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DIREZIONE REGIONALE </w:t>
      </w:r>
      <w:r w:rsidR="00B2643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di</w:t>
      </w:r>
      <w:r w:rsidR="0067200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ASSEMINI </w:t>
      </w:r>
      <w:r w:rsidR="006E77C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(</w:t>
      </w:r>
      <w:r w:rsidR="0067200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CA</w:t>
      </w:r>
      <w:r w:rsidR="006E77C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)</w:t>
      </w:r>
    </w:p>
    <w:p w14:paraId="3C630699" w14:textId="7E90E9CF" w:rsidR="00672004" w:rsidRPr="001E51EC" w:rsidRDefault="00DB1940" w:rsidP="00C040F0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L</w:t>
      </w:r>
      <w:r w:rsidR="00672004">
        <w:rPr>
          <w:rFonts w:cs="Calibri-Bold"/>
          <w:bCs/>
          <w:i/>
          <w:sz w:val="28"/>
          <w:szCs w:val="28"/>
          <w:lang w:val="it-IT"/>
        </w:rPr>
        <w:t>'Azienda della GDO</w:t>
      </w:r>
      <w:r w:rsidR="00945ECE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672004">
        <w:rPr>
          <w:rFonts w:cs="Calibri-Bold"/>
          <w:bCs/>
          <w:i/>
          <w:sz w:val="28"/>
          <w:szCs w:val="28"/>
          <w:lang w:val="it-IT"/>
        </w:rPr>
        <w:t xml:space="preserve">accorcia le distanze e aumenta la propria efficienza con </w:t>
      </w:r>
      <w:r w:rsidR="00F22026">
        <w:rPr>
          <w:rFonts w:cs="Calibri-Bold"/>
          <w:bCs/>
          <w:i/>
          <w:sz w:val="28"/>
          <w:szCs w:val="28"/>
          <w:lang w:val="it-IT"/>
        </w:rPr>
        <w:t>la realizzazione</w:t>
      </w:r>
      <w:r w:rsidR="00672004">
        <w:rPr>
          <w:rFonts w:cs="Calibri-Bold"/>
          <w:bCs/>
          <w:i/>
          <w:sz w:val="28"/>
          <w:szCs w:val="28"/>
          <w:lang w:val="it-IT"/>
        </w:rPr>
        <w:t xml:space="preserve"> di un centro logistico </w:t>
      </w:r>
      <w:r w:rsidR="00F22026">
        <w:rPr>
          <w:rFonts w:cs="Calibri-Bold"/>
          <w:bCs/>
          <w:i/>
          <w:sz w:val="28"/>
          <w:szCs w:val="28"/>
          <w:lang w:val="it-IT"/>
        </w:rPr>
        <w:t>e direzionale</w:t>
      </w:r>
      <w:r w:rsidR="00672004">
        <w:rPr>
          <w:rFonts w:cs="Calibri-Bold"/>
          <w:bCs/>
          <w:i/>
          <w:sz w:val="28"/>
          <w:szCs w:val="28"/>
          <w:lang w:val="it-IT"/>
        </w:rPr>
        <w:t xml:space="preserve"> in </w:t>
      </w:r>
      <w:r w:rsidR="00672004" w:rsidRPr="001E51EC">
        <w:rPr>
          <w:rFonts w:cs="Calibri-Bold"/>
          <w:bCs/>
          <w:i/>
          <w:sz w:val="28"/>
          <w:szCs w:val="28"/>
          <w:lang w:val="it-IT"/>
        </w:rPr>
        <w:t xml:space="preserve">Sardegna. </w:t>
      </w:r>
    </w:p>
    <w:p w14:paraId="2E6E4E40" w14:textId="60BE6694" w:rsidR="00A3661A" w:rsidRPr="001E51EC" w:rsidRDefault="00A3661A" w:rsidP="00A3661A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 w:rsidRPr="001E51EC">
        <w:rPr>
          <w:rFonts w:cs="Calibri-Bold"/>
          <w:bCs/>
          <w:i/>
          <w:sz w:val="28"/>
          <w:szCs w:val="28"/>
          <w:lang w:val="it-IT"/>
        </w:rPr>
        <w:t xml:space="preserve">Continua il piano di sviluppo dell'Insegna: 40 nuovi punti vendita nei prossimi 6 mesi </w:t>
      </w:r>
    </w:p>
    <w:bookmarkEnd w:id="0"/>
    <w:bookmarkEnd w:id="1"/>
    <w:p w14:paraId="13959C9E" w14:textId="77777777" w:rsidR="003D54B5" w:rsidRDefault="003D54B5" w:rsidP="00F725A6">
      <w:pPr>
        <w:pStyle w:val="EinfAbs"/>
        <w:jc w:val="both"/>
        <w:rPr>
          <w:rFonts w:cs="Calibri-Bold"/>
          <w:bCs/>
          <w:i/>
          <w:sz w:val="28"/>
          <w:szCs w:val="28"/>
          <w:lang w:val="it-IT"/>
        </w:rPr>
      </w:pPr>
    </w:p>
    <w:p w14:paraId="6A0B86B5" w14:textId="0E56B1BB" w:rsidR="00945ECE" w:rsidRDefault="00B26430" w:rsidP="00F725A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Assemini</w:t>
      </w:r>
      <w:r w:rsidR="006E77C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CA</w:t>
      </w:r>
      <w:r w:rsidR="006E77C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)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12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settembre 202</w:t>
      </w:r>
      <w:bookmarkStart w:id="2" w:name="_Hlk80798492"/>
      <w:bookmarkStart w:id="3" w:name="_Hlk80869457"/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4 </w:t>
      </w:r>
      <w:r w:rsidR="000A58F5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0A58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</w:t>
      </w:r>
      <w:r w:rsidR="00EC06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Italia, </w:t>
      </w:r>
      <w:r w:rsidR="00EF77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catena</w:t>
      </w:r>
      <w:r w:rsidR="00EC06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della GDO con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750</w:t>
      </w:r>
      <w:r w:rsidR="00EC06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punti vendita su tutto il territorio nazionale, </w:t>
      </w:r>
      <w:bookmarkEnd w:id="2"/>
      <w:bookmarkEnd w:id="3"/>
      <w:r w:rsidR="006E77C1" w:rsidRPr="006E7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inaugurato oggi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sua </w:t>
      </w:r>
      <w:r w:rsidRPr="00050D6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prima </w:t>
      </w:r>
      <w:r w:rsidR="006E77C1" w:rsidRPr="00050D6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Direzione Regionale </w:t>
      </w:r>
      <w:r w:rsidRPr="00050D6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 Sardegna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ad </w:t>
      </w:r>
      <w:r w:rsidRPr="00050D6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Assemini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737B8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provincia di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Cagliari</w:t>
      </w:r>
      <w:r w:rsidR="006E7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La</w:t>
      </w:r>
      <w:r w:rsidR="00DB194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E77C1" w:rsidRPr="006E7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struttura</w:t>
      </w:r>
      <w:r w:rsidR="006E7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B018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realizzata </w:t>
      </w:r>
      <w:r w:rsidR="00737B8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grazie ad</w:t>
      </w:r>
      <w:r w:rsidR="00B018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</w:t>
      </w:r>
      <w:r w:rsidR="00B01875" w:rsidRPr="007D2D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investimento </w:t>
      </w:r>
      <w:r w:rsidR="00737B8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sul territorio </w:t>
      </w:r>
      <w:r w:rsidR="00B01875" w:rsidRPr="007D2D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70</w:t>
      </w:r>
      <w:r w:rsidR="00B01875" w:rsidRPr="007D2D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milioni di euro</w:t>
      </w:r>
      <w:r w:rsidR="006E7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6E77C1" w:rsidRPr="006E7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ospita</w:t>
      </w:r>
      <w:r w:rsidR="006E7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dodicesimo</w:t>
      </w:r>
      <w:r w:rsidR="006E77C1" w:rsidRPr="006E7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centro logistico </w:t>
      </w:r>
      <w:r w:rsidR="00050D6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737B8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 in</w:t>
      </w:r>
      <w:r w:rsidR="006E7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Italia</w:t>
      </w:r>
      <w:r w:rsidR="00737B8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737B80" w:rsidRPr="00050D6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945EC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737B80" w:rsidRPr="00945EC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ltre a generare un</w:t>
      </w:r>
      <w:r w:rsidR="00737B80" w:rsidRPr="006E77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indotto significativo</w:t>
      </w:r>
      <w:r w:rsidR="00945EC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questo </w:t>
      </w:r>
      <w:r w:rsidR="00945EC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progetto </w:t>
      </w:r>
      <w:r w:rsidR="00737B8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contribuito </w:t>
      </w:r>
      <w:r w:rsidR="00737B8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alla </w:t>
      </w:r>
      <w:r w:rsidR="006E77C1" w:rsidRPr="007D2D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creazione di </w:t>
      </w:r>
      <w:r w:rsidR="00E23B6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</w:t>
      </w:r>
      <w:r w:rsidR="006E77C1" w:rsidRPr="007D2D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140</w:t>
      </w:r>
      <w:r w:rsidR="006E77C1" w:rsidRPr="007D2D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posti di lavoro</w:t>
      </w:r>
      <w:r w:rsidR="00E23B6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23B66" w:rsidRPr="00050D6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</w:t>
      </w:r>
      <w:r w:rsidR="00945ECE" w:rsidRPr="00050D6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945EC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23B6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organico complessivo di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circa</w:t>
      </w:r>
      <w:r w:rsidR="00032BC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650</w:t>
      </w:r>
      <w:r w:rsidR="00E23B6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050D6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persone</w:t>
      </w:r>
      <w:r w:rsidRPr="00050D6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impiegate </w:t>
      </w:r>
      <w:r w:rsidR="00F220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dall’Insegna</w:t>
      </w:r>
      <w:r w:rsidRPr="00050D6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tutta l’Isola</w:t>
      </w:r>
      <w:r w:rsidR="00737B8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5463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3B2D4DE2" w14:textId="708F6806" w:rsidR="00737B80" w:rsidRPr="00C85175" w:rsidRDefault="007D2DB5" w:rsidP="00F725A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 w:rsidR="00737B8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 importante investimento </w:t>
      </w:r>
      <w:r w:rsidR="00945EC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colloca all’interno di un percorso di crescita </w:t>
      </w:r>
      <w:r w:rsidR="004529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aziendale </w:t>
      </w:r>
      <w:r w:rsidR="00945ECE" w:rsidRPr="00945EC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</w:t>
      </w:r>
      <w:r w:rsidR="00945EC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45ECE" w:rsidRPr="00945EC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prevede</w:t>
      </w:r>
      <w:r w:rsidR="00945EC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C851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i prossimi sei mesi, </w:t>
      </w:r>
      <w:r w:rsidR="00C85175" w:rsidRPr="00C851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 investimento complessivo di 400 milioni di euro per l’apertura di 40 punti vendita.</w:t>
      </w:r>
    </w:p>
    <w:p w14:paraId="12DD50B9" w14:textId="77777777" w:rsidR="00F725A6" w:rsidRDefault="00F725A6" w:rsidP="00F725A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7A9D92A" w14:textId="79195B7C" w:rsidR="00CB3BA8" w:rsidRPr="000E1C06" w:rsidRDefault="00CB3BA8" w:rsidP="00CB3BA8">
      <w:pPr>
        <w:jc w:val="both"/>
        <w:rPr>
          <w:rFonts w:asciiTheme="minorHAnsi" w:eastAsiaTheme="minorEastAsia" w:hAnsiTheme="minorHAnsi"/>
          <w:i/>
          <w:iCs/>
          <w:lang w:val="it-IT" w:eastAsia="zh-TW"/>
        </w:rPr>
      </w:pPr>
      <w:r w:rsidRPr="004F6906">
        <w:rPr>
          <w:rFonts w:asciiTheme="minorHAnsi" w:eastAsiaTheme="minorEastAsia" w:hAnsiTheme="minorHAnsi"/>
          <w:b/>
          <w:bCs/>
          <w:lang w:val="it-IT" w:eastAsia="zh-TW"/>
        </w:rPr>
        <w:t>Massimiliano Silvestri, Presidente di Lidl Italia</w:t>
      </w:r>
      <w:r w:rsidRPr="004F6906">
        <w:rPr>
          <w:rFonts w:asciiTheme="minorHAnsi" w:eastAsiaTheme="minorEastAsia" w:hAnsiTheme="minorHAnsi"/>
          <w:lang w:val="it-IT" w:eastAsia="zh-TW"/>
        </w:rPr>
        <w:t xml:space="preserve">, ha </w:t>
      </w:r>
      <w:r w:rsidR="00452903" w:rsidRPr="004F6906">
        <w:rPr>
          <w:rFonts w:asciiTheme="minorHAnsi" w:eastAsiaTheme="minorEastAsia" w:hAnsiTheme="minorHAnsi"/>
          <w:lang w:val="it-IT" w:eastAsia="zh-TW"/>
        </w:rPr>
        <w:t xml:space="preserve">così </w:t>
      </w:r>
      <w:r w:rsidRPr="004F6906">
        <w:rPr>
          <w:rFonts w:asciiTheme="minorHAnsi" w:eastAsiaTheme="minorEastAsia" w:hAnsiTheme="minorHAnsi"/>
          <w:lang w:val="it-IT" w:eastAsia="zh-TW"/>
        </w:rPr>
        <w:t>commentato</w:t>
      </w:r>
      <w:r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: “Siamo </w:t>
      </w:r>
      <w:r w:rsidR="00A61707" w:rsidRPr="004F6906">
        <w:rPr>
          <w:rFonts w:asciiTheme="minorHAnsi" w:eastAsiaTheme="minorEastAsia" w:hAnsiTheme="minorHAnsi"/>
          <w:i/>
          <w:iCs/>
          <w:lang w:val="it-IT" w:eastAsia="zh-TW"/>
        </w:rPr>
        <w:t>molto</w:t>
      </w:r>
      <w:r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orgogliosi di inaugurare oggi la Direzione Regionale di </w:t>
      </w:r>
      <w:r w:rsidR="00A61707" w:rsidRPr="004F6906">
        <w:rPr>
          <w:rFonts w:asciiTheme="minorHAnsi" w:eastAsiaTheme="minorEastAsia" w:hAnsiTheme="minorHAnsi"/>
          <w:i/>
          <w:iCs/>
          <w:lang w:val="it-IT" w:eastAsia="zh-TW"/>
        </w:rPr>
        <w:t>Assemini</w:t>
      </w:r>
      <w:r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, </w:t>
      </w:r>
      <w:r w:rsidR="00A61707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abbiamo realizzato questo straordinario progetto con grande determinazione alla luce della rilevanza strategica </w:t>
      </w:r>
      <w:r w:rsidR="000E1C06" w:rsidRPr="004F6906">
        <w:rPr>
          <w:rFonts w:asciiTheme="minorHAnsi" w:eastAsiaTheme="minorEastAsia" w:hAnsiTheme="minorHAnsi"/>
          <w:i/>
          <w:iCs/>
          <w:lang w:val="it-IT" w:eastAsia="zh-TW"/>
        </w:rPr>
        <w:t>che riveste per noi</w:t>
      </w:r>
      <w:r w:rsidR="00A61707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e per la comunità sarda. </w:t>
      </w:r>
      <w:r w:rsidR="000E1C06" w:rsidRPr="004F6906">
        <w:rPr>
          <w:rFonts w:asciiTheme="minorHAnsi" w:eastAsiaTheme="minorEastAsia" w:hAnsiTheme="minorHAnsi"/>
          <w:i/>
          <w:iCs/>
          <w:lang w:val="it-IT" w:eastAsia="zh-TW"/>
        </w:rPr>
        <w:t>I</w:t>
      </w:r>
      <w:r w:rsidR="00A61707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l primo punto vendita </w:t>
      </w:r>
      <w:r w:rsidR="001508D0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di </w:t>
      </w:r>
      <w:r w:rsidR="000E1C06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Lidl </w:t>
      </w:r>
      <w:r w:rsidR="00A61707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in Sardegna </w:t>
      </w:r>
      <w:r w:rsidR="000E1C06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è stato aperto </w:t>
      </w:r>
      <w:r w:rsidR="00A61707" w:rsidRPr="004F6906">
        <w:rPr>
          <w:rFonts w:asciiTheme="minorHAnsi" w:eastAsiaTheme="minorEastAsia" w:hAnsiTheme="minorHAnsi"/>
          <w:i/>
          <w:iCs/>
          <w:lang w:val="it-IT" w:eastAsia="zh-TW"/>
        </w:rPr>
        <w:t>nel 2002 e da allora il riscontro dei</w:t>
      </w:r>
      <w:r w:rsidR="000E1C06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</w:t>
      </w:r>
      <w:r w:rsidR="00A61707" w:rsidRPr="004F6906">
        <w:rPr>
          <w:rFonts w:asciiTheme="minorHAnsi" w:eastAsiaTheme="minorEastAsia" w:hAnsiTheme="minorHAnsi"/>
          <w:i/>
          <w:iCs/>
          <w:lang w:val="it-IT" w:eastAsia="zh-TW"/>
        </w:rPr>
        <w:t>clienti è sempre stato molto positivo</w:t>
      </w:r>
      <w:r w:rsidR="004958DC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portandoci </w:t>
      </w:r>
      <w:r w:rsidR="00990BF9" w:rsidRPr="004F6906">
        <w:rPr>
          <w:rFonts w:asciiTheme="minorHAnsi" w:eastAsiaTheme="minorEastAsia" w:hAnsiTheme="minorHAnsi"/>
          <w:i/>
          <w:iCs/>
          <w:lang w:val="it-IT" w:eastAsia="zh-TW"/>
        </w:rPr>
        <w:t>ad ampliare</w:t>
      </w:r>
      <w:r w:rsidR="004958DC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la nostra presenza</w:t>
      </w:r>
      <w:r w:rsidR="00A61707" w:rsidRPr="004F6906">
        <w:rPr>
          <w:rFonts w:asciiTheme="minorHAnsi" w:eastAsiaTheme="minorEastAsia" w:hAnsiTheme="minorHAnsi"/>
          <w:i/>
          <w:iCs/>
          <w:lang w:val="it-IT" w:eastAsia="zh-TW"/>
        </w:rPr>
        <w:t>. Con questa nuova struttura</w:t>
      </w:r>
      <w:r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</w:t>
      </w:r>
      <w:r w:rsidR="00DD313E" w:rsidRPr="004F6906">
        <w:rPr>
          <w:rFonts w:asciiTheme="minorHAnsi" w:eastAsiaTheme="minorEastAsia" w:hAnsiTheme="minorHAnsi"/>
          <w:i/>
          <w:iCs/>
          <w:lang w:val="it-IT" w:eastAsia="zh-TW"/>
        </w:rPr>
        <w:t>vogliamo</w:t>
      </w:r>
      <w:r w:rsidR="00990BF9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</w:t>
      </w:r>
      <w:r w:rsidR="00DD313E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dare ulteriore slancio </w:t>
      </w:r>
      <w:r w:rsidR="000E1C06" w:rsidRPr="004F6906">
        <w:rPr>
          <w:rFonts w:asciiTheme="minorHAnsi" w:eastAsiaTheme="minorEastAsia" w:hAnsiTheme="minorHAnsi"/>
          <w:i/>
          <w:iCs/>
          <w:lang w:val="it-IT" w:eastAsia="zh-TW"/>
        </w:rPr>
        <w:t>al nostro</w:t>
      </w:r>
      <w:r w:rsidR="00DD313E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sviluppo sull’Isola</w:t>
      </w:r>
      <w:r w:rsidR="000E1C06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</w:t>
      </w:r>
      <w:r w:rsidR="00452903" w:rsidRPr="004F6906">
        <w:rPr>
          <w:rFonts w:asciiTheme="minorHAnsi" w:eastAsiaTheme="minorEastAsia" w:hAnsiTheme="minorHAnsi"/>
          <w:i/>
          <w:iCs/>
          <w:lang w:val="it-IT" w:eastAsia="zh-TW"/>
        </w:rPr>
        <w:t>perseguendo</w:t>
      </w:r>
      <w:r w:rsidR="000E1C06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</w:t>
      </w:r>
      <w:r w:rsidR="00DD313E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una crescita responsabile che unisce innovazione </w:t>
      </w:r>
      <w:r w:rsidR="00452903" w:rsidRPr="004F6906">
        <w:rPr>
          <w:rFonts w:asciiTheme="minorHAnsi" w:eastAsiaTheme="minorEastAsia" w:hAnsiTheme="minorHAnsi"/>
          <w:i/>
          <w:iCs/>
          <w:lang w:val="it-IT" w:eastAsia="zh-TW"/>
        </w:rPr>
        <w:t>e</w:t>
      </w:r>
      <w:r w:rsidR="00DD313E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sostenibilità. Ringrazio tutte le persone che hanno </w:t>
      </w:r>
      <w:r w:rsidR="00DB0F4B" w:rsidRPr="004F6906">
        <w:rPr>
          <w:rFonts w:asciiTheme="minorHAnsi" w:eastAsiaTheme="minorEastAsia" w:hAnsiTheme="minorHAnsi"/>
          <w:i/>
          <w:iCs/>
          <w:lang w:val="it-IT" w:eastAsia="zh-TW"/>
        </w:rPr>
        <w:t>reso possibile tutto questo</w:t>
      </w:r>
      <w:r w:rsidR="000E1C06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: </w:t>
      </w:r>
      <w:r w:rsidR="00DB0F4B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dai preziosi partner esterni, </w:t>
      </w:r>
      <w:r w:rsidR="00452903" w:rsidRPr="004F6906">
        <w:rPr>
          <w:rFonts w:asciiTheme="minorHAnsi" w:eastAsiaTheme="minorEastAsia" w:hAnsiTheme="minorHAnsi"/>
          <w:i/>
          <w:iCs/>
          <w:lang w:val="it-IT" w:eastAsia="zh-TW"/>
        </w:rPr>
        <w:t>alle</w:t>
      </w:r>
      <w:r w:rsidR="00DB0F4B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istituzioni </w:t>
      </w:r>
      <w:r w:rsidR="000E1C06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locali </w:t>
      </w:r>
      <w:r w:rsidR="00452903" w:rsidRPr="004F6906">
        <w:rPr>
          <w:rFonts w:asciiTheme="minorHAnsi" w:eastAsiaTheme="minorEastAsia" w:hAnsiTheme="minorHAnsi"/>
          <w:i/>
          <w:iCs/>
          <w:lang w:val="it-IT" w:eastAsia="zh-TW"/>
        </w:rPr>
        <w:t>con cui abbiamo collaborato proficuamente</w:t>
      </w:r>
      <w:r w:rsidR="001508D0" w:rsidRPr="004F6906">
        <w:rPr>
          <w:rFonts w:asciiTheme="minorHAnsi" w:eastAsiaTheme="minorEastAsia" w:hAnsiTheme="minorHAnsi"/>
          <w:i/>
          <w:iCs/>
          <w:lang w:val="it-IT" w:eastAsia="zh-TW"/>
        </w:rPr>
        <w:t>,</w:t>
      </w:r>
      <w:r w:rsidR="00452903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</w:t>
      </w:r>
      <w:r w:rsidR="00DB0F4B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e non </w:t>
      </w:r>
      <w:r w:rsidR="00452903" w:rsidRPr="004F6906">
        <w:rPr>
          <w:rFonts w:asciiTheme="minorHAnsi" w:eastAsiaTheme="minorEastAsia" w:hAnsiTheme="minorHAnsi"/>
          <w:i/>
          <w:iCs/>
          <w:lang w:val="it-IT" w:eastAsia="zh-TW"/>
        </w:rPr>
        <w:t>per ultimi</w:t>
      </w:r>
      <w:r w:rsidR="001508D0" w:rsidRPr="004F6906">
        <w:rPr>
          <w:rFonts w:asciiTheme="minorHAnsi" w:eastAsiaTheme="minorEastAsia" w:hAnsiTheme="minorHAnsi"/>
          <w:i/>
          <w:iCs/>
          <w:lang w:val="it-IT" w:eastAsia="zh-TW"/>
        </w:rPr>
        <w:t>,</w:t>
      </w:r>
      <w:r w:rsidR="00452903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 </w:t>
      </w:r>
      <w:r w:rsidR="00DD313E" w:rsidRPr="004F6906">
        <w:rPr>
          <w:rFonts w:asciiTheme="minorHAnsi" w:eastAsiaTheme="minorEastAsia" w:hAnsiTheme="minorHAnsi"/>
          <w:i/>
          <w:iCs/>
          <w:lang w:val="it-IT" w:eastAsia="zh-TW"/>
        </w:rPr>
        <w:t>tutti i collegh</w:t>
      </w:r>
      <w:r w:rsidR="00452903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i che hanno </w:t>
      </w:r>
      <w:r w:rsidR="001508D0" w:rsidRPr="004F6906">
        <w:rPr>
          <w:rFonts w:asciiTheme="minorHAnsi" w:eastAsiaTheme="minorEastAsia" w:hAnsiTheme="minorHAnsi"/>
          <w:i/>
          <w:iCs/>
          <w:lang w:val="it-IT" w:eastAsia="zh-TW"/>
        </w:rPr>
        <w:t xml:space="preserve">dato il loro fondamentale </w:t>
      </w:r>
      <w:r w:rsidR="00452903" w:rsidRPr="004F6906">
        <w:rPr>
          <w:rFonts w:asciiTheme="minorHAnsi" w:eastAsiaTheme="minorEastAsia" w:hAnsiTheme="minorHAnsi"/>
          <w:i/>
          <w:iCs/>
          <w:lang w:val="it-IT" w:eastAsia="zh-TW"/>
        </w:rPr>
        <w:t>contribuito</w:t>
      </w:r>
      <w:r w:rsidRPr="004F6906">
        <w:rPr>
          <w:rFonts w:asciiTheme="minorHAnsi" w:eastAsiaTheme="minorEastAsia" w:hAnsiTheme="minorHAnsi"/>
          <w:i/>
          <w:iCs/>
          <w:lang w:val="it-IT" w:eastAsia="zh-TW"/>
        </w:rPr>
        <w:t>”.</w:t>
      </w:r>
    </w:p>
    <w:p w14:paraId="39254ED6" w14:textId="22E6682B" w:rsidR="00FF0751" w:rsidRDefault="00DB1940" w:rsidP="0043090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bookmarkStart w:id="4" w:name="_Hlk80869533"/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La nuova struttura</w:t>
      </w:r>
    </w:p>
    <w:p w14:paraId="1128E5DE" w14:textId="52B79945" w:rsidR="00DD4683" w:rsidRDefault="00E85A38" w:rsidP="00485F95">
      <w:pPr>
        <w:jc w:val="both"/>
        <w:rPr>
          <w:lang w:val="it-IT"/>
        </w:rPr>
      </w:pPr>
      <w:r w:rsidRPr="00E85A38">
        <w:rPr>
          <w:lang w:val="it-IT"/>
        </w:rPr>
        <w:t xml:space="preserve">La realizzazione </w:t>
      </w:r>
      <w:r>
        <w:rPr>
          <w:lang w:val="it-IT"/>
        </w:rPr>
        <w:t>della</w:t>
      </w:r>
      <w:r w:rsidRPr="00E85A38">
        <w:rPr>
          <w:lang w:val="it-IT"/>
        </w:rPr>
        <w:t xml:space="preserve"> nuova Direzione Regionale nasce dall’esigenza di Lidl Italia di far fronte alla continua </w:t>
      </w:r>
      <w:r w:rsidR="00E23B66">
        <w:rPr>
          <w:lang w:val="it-IT"/>
        </w:rPr>
        <w:t>espansione</w:t>
      </w:r>
      <w:r w:rsidRPr="00E85A38">
        <w:rPr>
          <w:lang w:val="it-IT"/>
        </w:rPr>
        <w:t xml:space="preserve"> sul territorio e</w:t>
      </w:r>
      <w:r>
        <w:rPr>
          <w:lang w:val="it-IT"/>
        </w:rPr>
        <w:t xml:space="preserve"> c</w:t>
      </w:r>
      <w:r w:rsidRPr="00E85A38">
        <w:rPr>
          <w:lang w:val="it-IT"/>
        </w:rPr>
        <w:t>onsentir</w:t>
      </w:r>
      <w:r>
        <w:rPr>
          <w:lang w:val="it-IT"/>
        </w:rPr>
        <w:t>à</w:t>
      </w:r>
      <w:r w:rsidRPr="00E85A38">
        <w:rPr>
          <w:lang w:val="it-IT"/>
        </w:rPr>
        <w:t xml:space="preserve"> di </w:t>
      </w:r>
      <w:r w:rsidR="00945ECE" w:rsidRPr="00CB3BA8">
        <w:rPr>
          <w:b/>
          <w:bCs/>
          <w:lang w:val="it-IT"/>
        </w:rPr>
        <w:t>accorciare le distanze</w:t>
      </w:r>
      <w:r w:rsidR="00945ECE" w:rsidRPr="00945ECE">
        <w:rPr>
          <w:lang w:val="it-IT"/>
        </w:rPr>
        <w:t xml:space="preserve"> e ridurre significativamente i km percorsi</w:t>
      </w:r>
      <w:r w:rsidR="00945ECE">
        <w:rPr>
          <w:lang w:val="it-IT"/>
        </w:rPr>
        <w:t xml:space="preserve"> per l’</w:t>
      </w:r>
      <w:r w:rsidR="007E7415" w:rsidRPr="00CB3BA8">
        <w:rPr>
          <w:b/>
          <w:bCs/>
          <w:lang w:val="it-IT"/>
        </w:rPr>
        <w:t>approvvigionamento</w:t>
      </w:r>
      <w:r w:rsidR="00945ECE" w:rsidRPr="00CB3BA8">
        <w:rPr>
          <w:b/>
          <w:bCs/>
          <w:lang w:val="it-IT"/>
        </w:rPr>
        <w:t xml:space="preserve"> </w:t>
      </w:r>
      <w:r w:rsidR="00990BF9">
        <w:rPr>
          <w:b/>
          <w:bCs/>
          <w:lang w:val="it-IT"/>
        </w:rPr>
        <w:t>degli attuali</w:t>
      </w:r>
      <w:r w:rsidR="00945ECE" w:rsidRPr="00CB3BA8">
        <w:rPr>
          <w:b/>
          <w:bCs/>
          <w:lang w:val="it-IT"/>
        </w:rPr>
        <w:t xml:space="preserve"> 23 punti vendita sardi</w:t>
      </w:r>
      <w:r w:rsidR="00945ECE" w:rsidRPr="00945ECE">
        <w:rPr>
          <w:lang w:val="it-IT"/>
        </w:rPr>
        <w:t xml:space="preserve">, con </w:t>
      </w:r>
      <w:r w:rsidR="00945ECE">
        <w:rPr>
          <w:lang w:val="it-IT"/>
        </w:rPr>
        <w:t xml:space="preserve">un </w:t>
      </w:r>
      <w:r w:rsidR="00945ECE" w:rsidRPr="00945ECE">
        <w:rPr>
          <w:lang w:val="it-IT"/>
        </w:rPr>
        <w:t>conseguente risparmio in termini ambientali.</w:t>
      </w:r>
      <w:r w:rsidRPr="00E85A38">
        <w:rPr>
          <w:lang w:val="it-IT"/>
        </w:rPr>
        <w:t xml:space="preserve"> </w:t>
      </w:r>
      <w:r w:rsidR="007E7415">
        <w:rPr>
          <w:lang w:val="it-IT"/>
        </w:rPr>
        <w:t>L</w:t>
      </w:r>
      <w:r w:rsidR="00E23B66">
        <w:rPr>
          <w:lang w:val="it-IT"/>
        </w:rPr>
        <w:t>a struttura</w:t>
      </w:r>
      <w:r w:rsidR="00CB3BA8">
        <w:rPr>
          <w:lang w:val="it-IT"/>
        </w:rPr>
        <w:t>,</w:t>
      </w:r>
      <w:r w:rsidR="00E23B66">
        <w:rPr>
          <w:lang w:val="it-IT"/>
        </w:rPr>
        <w:t xml:space="preserve"> </w:t>
      </w:r>
      <w:r w:rsidR="007E7415">
        <w:rPr>
          <w:lang w:val="it-IT"/>
        </w:rPr>
        <w:t xml:space="preserve">che sarà </w:t>
      </w:r>
      <w:r w:rsidR="007E7415" w:rsidRPr="00CB3BA8">
        <w:rPr>
          <w:b/>
          <w:bCs/>
          <w:lang w:val="it-IT"/>
        </w:rPr>
        <w:t>operativa dal 1° ottobre</w:t>
      </w:r>
      <w:r w:rsidR="00E23B66">
        <w:rPr>
          <w:lang w:val="it-IT"/>
        </w:rPr>
        <w:t xml:space="preserve">, </w:t>
      </w:r>
      <w:r w:rsidR="00DD4683" w:rsidRPr="00DD4683">
        <w:rPr>
          <w:lang w:val="it-IT"/>
        </w:rPr>
        <w:t>permetterà di migliorare il servizio al cliente finale e allo stesso tempo di compiere un passo in avanti verso una logistica sempre più sostenibile ed efficiente</w:t>
      </w:r>
      <w:r w:rsidR="00CB3BA8">
        <w:rPr>
          <w:lang w:val="it-IT"/>
        </w:rPr>
        <w:t xml:space="preserve"> con un </w:t>
      </w:r>
      <w:r w:rsidR="00CB3BA8" w:rsidRPr="00CB3BA8">
        <w:rPr>
          <w:lang w:val="it-IT"/>
        </w:rPr>
        <w:t>risparmio di più di 5.000 tonnellate di CO</w:t>
      </w:r>
      <w:r w:rsidR="00CB3BA8" w:rsidRPr="001508D0">
        <w:rPr>
          <w:vertAlign w:val="subscript"/>
          <w:lang w:val="it-IT"/>
        </w:rPr>
        <w:t>2</w:t>
      </w:r>
      <w:r w:rsidR="00CB3BA8">
        <w:rPr>
          <w:lang w:val="it-IT"/>
        </w:rPr>
        <w:t>.</w:t>
      </w:r>
    </w:p>
    <w:p w14:paraId="5307378B" w14:textId="143E71D1" w:rsidR="007E78A9" w:rsidRPr="00B42AA7" w:rsidRDefault="00990BF9" w:rsidP="00485F95">
      <w:pPr>
        <w:jc w:val="both"/>
        <w:rPr>
          <w:lang w:val="it-IT"/>
        </w:rPr>
      </w:pPr>
      <w:r>
        <w:rPr>
          <w:lang w:val="it-IT"/>
        </w:rPr>
        <w:lastRenderedPageBreak/>
        <w:t>Il</w:t>
      </w:r>
      <w:r w:rsidR="00CB3BA8">
        <w:rPr>
          <w:lang w:val="it-IT"/>
        </w:rPr>
        <w:t xml:space="preserve"> centro</w:t>
      </w:r>
      <w:r w:rsidR="00E85A38" w:rsidRPr="00CB3BA8">
        <w:rPr>
          <w:lang w:val="it-IT"/>
        </w:rPr>
        <w:t xml:space="preserve"> logistico</w:t>
      </w:r>
      <w:r w:rsidR="00A53F95" w:rsidRPr="00CB3BA8">
        <w:rPr>
          <w:lang w:val="it-IT"/>
        </w:rPr>
        <w:t xml:space="preserve"> </w:t>
      </w:r>
      <w:r w:rsidR="007E78A9" w:rsidRPr="007E78A9">
        <w:rPr>
          <w:lang w:val="it-IT"/>
        </w:rPr>
        <w:t xml:space="preserve">si estende su una </w:t>
      </w:r>
      <w:r w:rsidR="007E78A9" w:rsidRPr="00CB3BA8">
        <w:rPr>
          <w:b/>
          <w:bCs/>
          <w:lang w:val="it-IT"/>
        </w:rPr>
        <w:t>superficie complessiva coperta di oltre 37.000 mq</w:t>
      </w:r>
      <w:r w:rsidR="007E78A9" w:rsidRPr="007E78A9">
        <w:rPr>
          <w:lang w:val="it-IT"/>
        </w:rPr>
        <w:t xml:space="preserve">, </w:t>
      </w:r>
      <w:r w:rsidR="007E78A9">
        <w:rPr>
          <w:lang w:val="it-IT"/>
        </w:rPr>
        <w:t>ha una</w:t>
      </w:r>
      <w:r w:rsidR="007E78A9" w:rsidRPr="007E78A9">
        <w:rPr>
          <w:lang w:val="it-IT"/>
        </w:rPr>
        <w:t xml:space="preserve"> capacità di stoccaggio di </w:t>
      </w:r>
      <w:r w:rsidR="00F22026">
        <w:rPr>
          <w:b/>
          <w:bCs/>
          <w:lang w:val="it-IT"/>
        </w:rPr>
        <w:t>25</w:t>
      </w:r>
      <w:r w:rsidR="007E78A9" w:rsidRPr="00CB3BA8">
        <w:rPr>
          <w:b/>
          <w:bCs/>
          <w:lang w:val="it-IT"/>
        </w:rPr>
        <w:t>.000 posti pallet</w:t>
      </w:r>
      <w:r w:rsidR="007E78A9" w:rsidRPr="00B42AA7">
        <w:rPr>
          <w:lang w:val="it-IT"/>
        </w:rPr>
        <w:t xml:space="preserve">, oltre a disporre di </w:t>
      </w:r>
      <w:r w:rsidR="007E78A9" w:rsidRPr="00CB3BA8">
        <w:rPr>
          <w:b/>
          <w:bCs/>
          <w:lang w:val="it-IT"/>
        </w:rPr>
        <w:t>101 baie di carico</w:t>
      </w:r>
      <w:r w:rsidR="007E78A9" w:rsidRPr="00B42AA7">
        <w:rPr>
          <w:lang w:val="it-IT"/>
        </w:rPr>
        <w:t xml:space="preserve"> e </w:t>
      </w:r>
      <w:r w:rsidR="007E78A9" w:rsidRPr="00CB3BA8">
        <w:rPr>
          <w:b/>
          <w:bCs/>
          <w:lang w:val="it-IT"/>
        </w:rPr>
        <w:t xml:space="preserve">45 posti </w:t>
      </w:r>
      <w:r w:rsidR="003D54B5">
        <w:rPr>
          <w:b/>
          <w:bCs/>
          <w:lang w:val="it-IT"/>
        </w:rPr>
        <w:t>TIR</w:t>
      </w:r>
      <w:r w:rsidR="007E78A9" w:rsidRPr="00B42AA7">
        <w:rPr>
          <w:lang w:val="it-IT"/>
        </w:rPr>
        <w:t>.</w:t>
      </w:r>
    </w:p>
    <w:p w14:paraId="72989F67" w14:textId="7408BCC2" w:rsidR="00485F95" w:rsidRPr="00CB3BA8" w:rsidRDefault="00B42AA7" w:rsidP="00CB3BA8">
      <w:pPr>
        <w:pStyle w:val="Default"/>
        <w:spacing w:line="276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B42AA7">
        <w:rPr>
          <w:rFonts w:eastAsiaTheme="minorHAnsi" w:cs="Times New Roman"/>
          <w:b/>
          <w:bCs/>
          <w:color w:val="auto"/>
          <w:sz w:val="22"/>
          <w:szCs w:val="22"/>
          <w:lang w:eastAsia="en-US"/>
        </w:rPr>
        <w:t>Il progetto</w:t>
      </w:r>
      <w:r w:rsidR="00485F95" w:rsidRPr="003D54B5">
        <w:rPr>
          <w:rFonts w:eastAsiaTheme="minorHAnsi" w:cs="Times New Roman"/>
          <w:color w:val="auto"/>
          <w:sz w:val="22"/>
          <w:szCs w:val="22"/>
          <w:lang w:eastAsia="en-US"/>
        </w:rPr>
        <w:t xml:space="preserve">, </w:t>
      </w:r>
      <w:r w:rsidR="003D54B5">
        <w:rPr>
          <w:rFonts w:eastAsiaTheme="minorHAnsi" w:cs="Times New Roman"/>
          <w:color w:val="auto"/>
          <w:sz w:val="22"/>
          <w:szCs w:val="22"/>
          <w:lang w:eastAsia="en-US"/>
        </w:rPr>
        <w:t>inoltre</w:t>
      </w:r>
      <w:r w:rsidR="00485F95" w:rsidRPr="00CB3BA8">
        <w:rPr>
          <w:rFonts w:eastAsiaTheme="minorHAnsi" w:cs="Times New Roman"/>
          <w:color w:val="auto"/>
          <w:sz w:val="22"/>
          <w:szCs w:val="22"/>
          <w:lang w:eastAsia="en-US"/>
        </w:rPr>
        <w:t xml:space="preserve">, risponde ai </w:t>
      </w:r>
      <w:r w:rsidRPr="00CB3BA8">
        <w:rPr>
          <w:rFonts w:eastAsiaTheme="minorHAnsi" w:cs="Times New Roman"/>
          <w:color w:val="auto"/>
          <w:sz w:val="22"/>
          <w:szCs w:val="22"/>
          <w:lang w:eastAsia="en-US"/>
        </w:rPr>
        <w:t>criteri di uno</w:t>
      </w:r>
      <w:r w:rsidRPr="00B42AA7">
        <w:rPr>
          <w:rFonts w:eastAsiaTheme="minorHAnsi" w:cs="Times New Roman"/>
          <w:b/>
          <w:bCs/>
          <w:color w:val="auto"/>
          <w:sz w:val="22"/>
          <w:szCs w:val="22"/>
          <w:lang w:eastAsia="en-US"/>
        </w:rPr>
        <w:t xml:space="preserve"> sviluppo </w:t>
      </w:r>
      <w:r>
        <w:rPr>
          <w:rFonts w:eastAsiaTheme="minorHAnsi" w:cs="Times New Roman"/>
          <w:b/>
          <w:bCs/>
          <w:color w:val="auto"/>
          <w:sz w:val="22"/>
          <w:szCs w:val="22"/>
          <w:lang w:eastAsia="en-US"/>
        </w:rPr>
        <w:t xml:space="preserve">edilizio </w:t>
      </w:r>
      <w:r w:rsidRPr="00B42AA7">
        <w:rPr>
          <w:rFonts w:eastAsiaTheme="minorHAnsi" w:cs="Times New Roman"/>
          <w:b/>
          <w:bCs/>
          <w:color w:val="auto"/>
          <w:sz w:val="22"/>
          <w:szCs w:val="22"/>
          <w:lang w:eastAsia="en-US"/>
        </w:rPr>
        <w:t>sostenibile</w:t>
      </w:r>
      <w:r>
        <w:rPr>
          <w:b/>
          <w:bCs/>
          <w:sz w:val="22"/>
          <w:szCs w:val="22"/>
        </w:rPr>
        <w:t xml:space="preserve">. </w:t>
      </w:r>
      <w:r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La nuova Direzione </w:t>
      </w:r>
      <w:r w:rsidR="005D3A6F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R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egionale</w:t>
      </w:r>
      <w:r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infatti,</w:t>
      </w:r>
      <w:r w:rsidR="00486E7E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CB3BA8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è dotata 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di un </w:t>
      </w:r>
      <w:r w:rsidR="00CB3BA8"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impianto</w:t>
      </w:r>
      <w:r w:rsidR="00485F95"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fotovoltaico da </w:t>
      </w:r>
      <w:r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2.688 kW</w:t>
      </w:r>
      <w:r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in grado di coprire </w:t>
      </w:r>
      <w:r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circa il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5</w:t>
      </w:r>
      <w:r w:rsidR="00485F95"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0% del fabbisogno energetico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d</w:t>
      </w:r>
      <w:r w:rsidR="007D2DB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el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centro</w:t>
      </w:r>
      <w:r w:rsidR="00A82AF7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</w:t>
      </w:r>
      <w:r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ovvero </w:t>
      </w:r>
      <w:r w:rsidR="00A82AF7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l’</w:t>
      </w:r>
      <w:r w:rsidR="00A82AF7"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equivalente dell’energia utilizzata</w:t>
      </w:r>
      <w:r w:rsidR="00485F95"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</w:t>
      </w:r>
      <w:r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da 1.350 abitazioni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 L’edificio</w:t>
      </w:r>
      <w:r w:rsidR="00187470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è alimentato con energia proveniente al </w:t>
      </w:r>
      <w:r w:rsidR="00485F95"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100% da fonti rinnovabili</w:t>
      </w:r>
      <w:r w:rsidR="00187470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 dispone di 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un sistema per il </w:t>
      </w:r>
      <w:r w:rsidR="00485F95"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recupero delle acque piovane</w:t>
      </w:r>
      <w:r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3D54B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Infine,</w:t>
      </w:r>
      <w:r w:rsidR="00807E68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rivestimento esterno</w:t>
      </w:r>
      <w:r w:rsidR="00187470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è 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frutto di uno studio che permette di </w:t>
      </w:r>
      <w:r w:rsidR="00485F95"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mitigare anche l’impatto </w:t>
      </w:r>
      <w:r w:rsidR="00187470" w:rsidRPr="00CB3BA8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visivo</w:t>
      </w:r>
      <w:r w:rsidR="00187470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485F95" w:rsidRPr="00CB3BA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della struttura all’interno del contesto circostante. </w:t>
      </w:r>
    </w:p>
    <w:p w14:paraId="269D726B" w14:textId="77777777" w:rsidR="00A46AB5" w:rsidRPr="00A46AB5" w:rsidRDefault="00A46AB5" w:rsidP="00A46AB5">
      <w:pPr>
        <w:pStyle w:val="Default"/>
      </w:pPr>
      <w:bookmarkStart w:id="5" w:name="_Hlk80860605"/>
      <w:bookmarkEnd w:id="4"/>
    </w:p>
    <w:bookmarkEnd w:id="5"/>
    <w:p w14:paraId="108342AC" w14:textId="56397AA3" w:rsidR="00BE59EA" w:rsidRPr="000016A7" w:rsidRDefault="00C45C44" w:rsidP="00430901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E85AD35" w14:textId="63A678F5" w:rsidR="00BE59EA" w:rsidRPr="00C3464D" w:rsidRDefault="00BE59EA" w:rsidP="00BE59E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750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</w:t>
      </w:r>
      <w:r w:rsidR="00053C6E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 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2952B2C8" w14:textId="77777777" w:rsidR="00BE59EA" w:rsidRPr="00C3464D" w:rsidRDefault="00BE59EA" w:rsidP="00BE59E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17B574A1" w14:textId="77777777" w:rsidR="00C45C44" w:rsidRPr="000804E6" w:rsidRDefault="00C45C44" w:rsidP="00430901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274807C7" w14:textId="77777777" w:rsidR="00C45C44" w:rsidRPr="003E3B9B" w:rsidRDefault="00C45C44" w:rsidP="00430901">
      <w:pPr>
        <w:spacing w:after="0" w:line="288" w:lineRule="auto"/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15F151E" w14:textId="77777777" w:rsidR="00C45C44" w:rsidRPr="00171FA8" w:rsidRDefault="00C45C44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07B9DFBE" w14:textId="77777777" w:rsidR="00C45C44" w:rsidRPr="00171FA8" w:rsidRDefault="00C45C44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00C92636" w14:textId="77777777" w:rsidR="00C45C44" w:rsidRPr="00A104F0" w:rsidRDefault="00C45C44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3FCBA335" w14:textId="77777777" w:rsidR="00C45C44" w:rsidRPr="006E42C5" w:rsidRDefault="00C45C44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5D621D0" w:rsidR="00171FA8" w:rsidRPr="006E42C5" w:rsidRDefault="00171FA8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9CB2E" w14:textId="77777777" w:rsidR="00242487" w:rsidRDefault="00242487" w:rsidP="003D467C">
      <w:pPr>
        <w:spacing w:after="0" w:line="240" w:lineRule="auto"/>
      </w:pPr>
      <w:r>
        <w:separator/>
      </w:r>
    </w:p>
  </w:endnote>
  <w:endnote w:type="continuationSeparator" w:id="0">
    <w:p w14:paraId="12E9178F" w14:textId="77777777" w:rsidR="00242487" w:rsidRDefault="0024248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8E192" w14:textId="77777777" w:rsidR="00242487" w:rsidRDefault="00242487" w:rsidP="003D467C">
      <w:pPr>
        <w:spacing w:after="0" w:line="240" w:lineRule="auto"/>
      </w:pPr>
      <w:r>
        <w:separator/>
      </w:r>
    </w:p>
  </w:footnote>
  <w:footnote w:type="continuationSeparator" w:id="0">
    <w:p w14:paraId="51C3483D" w14:textId="77777777" w:rsidR="00242487" w:rsidRDefault="0024248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1181D789" w:rsidR="003D467C" w:rsidRDefault="00BE59EA" w:rsidP="00BE59EA">
    <w:pPr>
      <w:pStyle w:val="Intestazione"/>
      <w:tabs>
        <w:tab w:val="clear" w:pos="4536"/>
        <w:tab w:val="clear" w:pos="9072"/>
        <w:tab w:val="left" w:pos="819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5D8A01FB" wp14:editId="19084D70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643255" cy="643255"/>
          <wp:effectExtent l="0" t="0" r="4445" b="444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024007E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B510D2E" w:rsidR="004B6791" w:rsidRDefault="00BE59EA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6F7385A2" wp14:editId="2E53E84E">
          <wp:simplePos x="0" y="0"/>
          <wp:positionH relativeFrom="margin">
            <wp:align>right</wp:align>
          </wp:positionH>
          <wp:positionV relativeFrom="paragraph">
            <wp:posOffset>-160020</wp:posOffset>
          </wp:positionV>
          <wp:extent cx="643255" cy="643255"/>
          <wp:effectExtent l="0" t="0" r="4445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19FE6A3C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241D6"/>
    <w:multiLevelType w:val="hybridMultilevel"/>
    <w:tmpl w:val="3D7406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85FA2"/>
    <w:multiLevelType w:val="hybridMultilevel"/>
    <w:tmpl w:val="1942441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34627742">
    <w:abstractNumId w:val="3"/>
  </w:num>
  <w:num w:numId="2" w16cid:durableId="1396780187">
    <w:abstractNumId w:val="3"/>
  </w:num>
  <w:num w:numId="3" w16cid:durableId="865796177">
    <w:abstractNumId w:val="3"/>
  </w:num>
  <w:num w:numId="4" w16cid:durableId="641934606">
    <w:abstractNumId w:val="3"/>
  </w:num>
  <w:num w:numId="5" w16cid:durableId="1464885493">
    <w:abstractNumId w:val="3"/>
  </w:num>
  <w:num w:numId="6" w16cid:durableId="891040835">
    <w:abstractNumId w:val="3"/>
  </w:num>
  <w:num w:numId="7" w16cid:durableId="1108542512">
    <w:abstractNumId w:val="3"/>
  </w:num>
  <w:num w:numId="8" w16cid:durableId="1354843371">
    <w:abstractNumId w:val="3"/>
  </w:num>
  <w:num w:numId="9" w16cid:durableId="751244768">
    <w:abstractNumId w:val="3"/>
  </w:num>
  <w:num w:numId="10" w16cid:durableId="628314897">
    <w:abstractNumId w:val="2"/>
  </w:num>
  <w:num w:numId="11" w16cid:durableId="1824926421">
    <w:abstractNumId w:val="0"/>
  </w:num>
  <w:num w:numId="12" w16cid:durableId="552037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5A71"/>
    <w:rsid w:val="00032445"/>
    <w:rsid w:val="00032BCC"/>
    <w:rsid w:val="000425DF"/>
    <w:rsid w:val="00050D6F"/>
    <w:rsid w:val="00053C6E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A58F5"/>
    <w:rsid w:val="000B2CA6"/>
    <w:rsid w:val="000B3899"/>
    <w:rsid w:val="000C1FE1"/>
    <w:rsid w:val="000C4D97"/>
    <w:rsid w:val="000C6C42"/>
    <w:rsid w:val="000C7245"/>
    <w:rsid w:val="000E1C06"/>
    <w:rsid w:val="000E6341"/>
    <w:rsid w:val="000F67E7"/>
    <w:rsid w:val="00105C99"/>
    <w:rsid w:val="001103F8"/>
    <w:rsid w:val="00112447"/>
    <w:rsid w:val="0011623D"/>
    <w:rsid w:val="001167C9"/>
    <w:rsid w:val="00122CE8"/>
    <w:rsid w:val="001241B5"/>
    <w:rsid w:val="0012454B"/>
    <w:rsid w:val="001437A4"/>
    <w:rsid w:val="00145D4E"/>
    <w:rsid w:val="001508D0"/>
    <w:rsid w:val="0015267E"/>
    <w:rsid w:val="00153BC8"/>
    <w:rsid w:val="00171FA8"/>
    <w:rsid w:val="001738F4"/>
    <w:rsid w:val="00173B1B"/>
    <w:rsid w:val="001769EB"/>
    <w:rsid w:val="00177431"/>
    <w:rsid w:val="00181A68"/>
    <w:rsid w:val="00182F03"/>
    <w:rsid w:val="00187470"/>
    <w:rsid w:val="00196DF6"/>
    <w:rsid w:val="001B24CD"/>
    <w:rsid w:val="001C2784"/>
    <w:rsid w:val="001D3D2E"/>
    <w:rsid w:val="001D47AB"/>
    <w:rsid w:val="001D4E79"/>
    <w:rsid w:val="001D6750"/>
    <w:rsid w:val="001D7609"/>
    <w:rsid w:val="001E0DB3"/>
    <w:rsid w:val="001E51EC"/>
    <w:rsid w:val="001E5219"/>
    <w:rsid w:val="001F0C9C"/>
    <w:rsid w:val="002003B8"/>
    <w:rsid w:val="00200EFB"/>
    <w:rsid w:val="0020497C"/>
    <w:rsid w:val="0020506A"/>
    <w:rsid w:val="00206F17"/>
    <w:rsid w:val="002244A1"/>
    <w:rsid w:val="00242487"/>
    <w:rsid w:val="00244CA2"/>
    <w:rsid w:val="0024740A"/>
    <w:rsid w:val="0025075B"/>
    <w:rsid w:val="00251EEE"/>
    <w:rsid w:val="00255F30"/>
    <w:rsid w:val="00255FAA"/>
    <w:rsid w:val="00256E76"/>
    <w:rsid w:val="00257AE3"/>
    <w:rsid w:val="00264DE3"/>
    <w:rsid w:val="0026716E"/>
    <w:rsid w:val="00281C26"/>
    <w:rsid w:val="002822F1"/>
    <w:rsid w:val="0028454D"/>
    <w:rsid w:val="002861B3"/>
    <w:rsid w:val="00290A4E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45BB"/>
    <w:rsid w:val="002F516C"/>
    <w:rsid w:val="003062A4"/>
    <w:rsid w:val="00310E19"/>
    <w:rsid w:val="00314D2A"/>
    <w:rsid w:val="003160B1"/>
    <w:rsid w:val="00316529"/>
    <w:rsid w:val="003230DC"/>
    <w:rsid w:val="00323BAC"/>
    <w:rsid w:val="00340E34"/>
    <w:rsid w:val="00362FE4"/>
    <w:rsid w:val="00363AF9"/>
    <w:rsid w:val="00364995"/>
    <w:rsid w:val="0036626B"/>
    <w:rsid w:val="0037197F"/>
    <w:rsid w:val="0037317E"/>
    <w:rsid w:val="003747D3"/>
    <w:rsid w:val="0037694A"/>
    <w:rsid w:val="00382D51"/>
    <w:rsid w:val="00387336"/>
    <w:rsid w:val="003A2FDB"/>
    <w:rsid w:val="003A5FAA"/>
    <w:rsid w:val="003B0583"/>
    <w:rsid w:val="003B0918"/>
    <w:rsid w:val="003B2E94"/>
    <w:rsid w:val="003B4989"/>
    <w:rsid w:val="003C0B97"/>
    <w:rsid w:val="003C3961"/>
    <w:rsid w:val="003C6067"/>
    <w:rsid w:val="003C659E"/>
    <w:rsid w:val="003D0D62"/>
    <w:rsid w:val="003D0FC1"/>
    <w:rsid w:val="003D1C14"/>
    <w:rsid w:val="003D467C"/>
    <w:rsid w:val="003D54B5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2500D"/>
    <w:rsid w:val="0042702B"/>
    <w:rsid w:val="004305C9"/>
    <w:rsid w:val="00430901"/>
    <w:rsid w:val="00435E92"/>
    <w:rsid w:val="00444D83"/>
    <w:rsid w:val="00447819"/>
    <w:rsid w:val="00452903"/>
    <w:rsid w:val="004547FE"/>
    <w:rsid w:val="004569A0"/>
    <w:rsid w:val="00461B61"/>
    <w:rsid w:val="00462465"/>
    <w:rsid w:val="00464F63"/>
    <w:rsid w:val="0048056B"/>
    <w:rsid w:val="00485F95"/>
    <w:rsid w:val="00486E7E"/>
    <w:rsid w:val="00487BD5"/>
    <w:rsid w:val="004934BF"/>
    <w:rsid w:val="004958DC"/>
    <w:rsid w:val="0049612D"/>
    <w:rsid w:val="004B0B31"/>
    <w:rsid w:val="004B6791"/>
    <w:rsid w:val="004C7FE3"/>
    <w:rsid w:val="004D30BC"/>
    <w:rsid w:val="004D4E8D"/>
    <w:rsid w:val="004E16C7"/>
    <w:rsid w:val="004E78E7"/>
    <w:rsid w:val="004F6906"/>
    <w:rsid w:val="0050059B"/>
    <w:rsid w:val="00501859"/>
    <w:rsid w:val="005025CE"/>
    <w:rsid w:val="005278FE"/>
    <w:rsid w:val="00527EA6"/>
    <w:rsid w:val="00531A26"/>
    <w:rsid w:val="00532BD6"/>
    <w:rsid w:val="00533200"/>
    <w:rsid w:val="005367C7"/>
    <w:rsid w:val="00536EE6"/>
    <w:rsid w:val="00540F70"/>
    <w:rsid w:val="00553C27"/>
    <w:rsid w:val="00554AB8"/>
    <w:rsid w:val="00554CC1"/>
    <w:rsid w:val="0056010E"/>
    <w:rsid w:val="0056261F"/>
    <w:rsid w:val="0056405F"/>
    <w:rsid w:val="00571029"/>
    <w:rsid w:val="00572298"/>
    <w:rsid w:val="005817EF"/>
    <w:rsid w:val="0058276E"/>
    <w:rsid w:val="005A1874"/>
    <w:rsid w:val="005A3096"/>
    <w:rsid w:val="005C0E63"/>
    <w:rsid w:val="005D1258"/>
    <w:rsid w:val="005D18FE"/>
    <w:rsid w:val="005D1F94"/>
    <w:rsid w:val="005D2763"/>
    <w:rsid w:val="005D3716"/>
    <w:rsid w:val="005D3A6F"/>
    <w:rsid w:val="005E4374"/>
    <w:rsid w:val="005E73B6"/>
    <w:rsid w:val="005E78E5"/>
    <w:rsid w:val="005F12DD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544E3"/>
    <w:rsid w:val="00672004"/>
    <w:rsid w:val="00672E99"/>
    <w:rsid w:val="00674292"/>
    <w:rsid w:val="006769B5"/>
    <w:rsid w:val="006805C2"/>
    <w:rsid w:val="006947AB"/>
    <w:rsid w:val="006A34C3"/>
    <w:rsid w:val="006A7843"/>
    <w:rsid w:val="006A7E99"/>
    <w:rsid w:val="006B7030"/>
    <w:rsid w:val="006B7AB8"/>
    <w:rsid w:val="006D4394"/>
    <w:rsid w:val="006E42C5"/>
    <w:rsid w:val="006E77C1"/>
    <w:rsid w:val="00704D5B"/>
    <w:rsid w:val="00705351"/>
    <w:rsid w:val="007060CE"/>
    <w:rsid w:val="007078A9"/>
    <w:rsid w:val="00716EB8"/>
    <w:rsid w:val="00730ED9"/>
    <w:rsid w:val="00733CE1"/>
    <w:rsid w:val="00736E18"/>
    <w:rsid w:val="00737B80"/>
    <w:rsid w:val="00751E86"/>
    <w:rsid w:val="00764ECB"/>
    <w:rsid w:val="00766453"/>
    <w:rsid w:val="00767921"/>
    <w:rsid w:val="007704E5"/>
    <w:rsid w:val="00770F6B"/>
    <w:rsid w:val="00772C30"/>
    <w:rsid w:val="00777DAB"/>
    <w:rsid w:val="00783618"/>
    <w:rsid w:val="00791C40"/>
    <w:rsid w:val="00793CFB"/>
    <w:rsid w:val="007972E0"/>
    <w:rsid w:val="007A6C9E"/>
    <w:rsid w:val="007B25DA"/>
    <w:rsid w:val="007B71B3"/>
    <w:rsid w:val="007B71D7"/>
    <w:rsid w:val="007C1315"/>
    <w:rsid w:val="007D2DB5"/>
    <w:rsid w:val="007D3DD0"/>
    <w:rsid w:val="007D536B"/>
    <w:rsid w:val="007D53DB"/>
    <w:rsid w:val="007E7415"/>
    <w:rsid w:val="007E78A9"/>
    <w:rsid w:val="007F6D48"/>
    <w:rsid w:val="00801FB3"/>
    <w:rsid w:val="008040D9"/>
    <w:rsid w:val="00807E68"/>
    <w:rsid w:val="00820951"/>
    <w:rsid w:val="008234CB"/>
    <w:rsid w:val="00830B9B"/>
    <w:rsid w:val="00832CB5"/>
    <w:rsid w:val="00835707"/>
    <w:rsid w:val="00835F47"/>
    <w:rsid w:val="0084622B"/>
    <w:rsid w:val="0084746E"/>
    <w:rsid w:val="00847C33"/>
    <w:rsid w:val="00851B0A"/>
    <w:rsid w:val="00851F69"/>
    <w:rsid w:val="00867666"/>
    <w:rsid w:val="00877B4F"/>
    <w:rsid w:val="008834FB"/>
    <w:rsid w:val="00887485"/>
    <w:rsid w:val="00894A70"/>
    <w:rsid w:val="00894E87"/>
    <w:rsid w:val="008A047E"/>
    <w:rsid w:val="008A1261"/>
    <w:rsid w:val="008A4EBB"/>
    <w:rsid w:val="008B41E3"/>
    <w:rsid w:val="008C08A0"/>
    <w:rsid w:val="008C28B4"/>
    <w:rsid w:val="008C3BA8"/>
    <w:rsid w:val="008C4A68"/>
    <w:rsid w:val="008C521D"/>
    <w:rsid w:val="008C5902"/>
    <w:rsid w:val="008D4910"/>
    <w:rsid w:val="008E2F14"/>
    <w:rsid w:val="008E5D01"/>
    <w:rsid w:val="008F3883"/>
    <w:rsid w:val="008F5D82"/>
    <w:rsid w:val="00904237"/>
    <w:rsid w:val="00917877"/>
    <w:rsid w:val="009201D4"/>
    <w:rsid w:val="00921CB4"/>
    <w:rsid w:val="0093165D"/>
    <w:rsid w:val="0093340C"/>
    <w:rsid w:val="00933BC4"/>
    <w:rsid w:val="00941CA7"/>
    <w:rsid w:val="009430F7"/>
    <w:rsid w:val="00945ECE"/>
    <w:rsid w:val="00952A84"/>
    <w:rsid w:val="0095498A"/>
    <w:rsid w:val="00956053"/>
    <w:rsid w:val="009566E0"/>
    <w:rsid w:val="009602A8"/>
    <w:rsid w:val="00961E6B"/>
    <w:rsid w:val="0096473E"/>
    <w:rsid w:val="009651B2"/>
    <w:rsid w:val="00984036"/>
    <w:rsid w:val="00990BF9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C6704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3661A"/>
    <w:rsid w:val="00A433E2"/>
    <w:rsid w:val="00A44E31"/>
    <w:rsid w:val="00A46AB5"/>
    <w:rsid w:val="00A46B60"/>
    <w:rsid w:val="00A474BA"/>
    <w:rsid w:val="00A53F95"/>
    <w:rsid w:val="00A54630"/>
    <w:rsid w:val="00A54D40"/>
    <w:rsid w:val="00A5547E"/>
    <w:rsid w:val="00A60463"/>
    <w:rsid w:val="00A61707"/>
    <w:rsid w:val="00A82AF7"/>
    <w:rsid w:val="00A901FF"/>
    <w:rsid w:val="00A91D97"/>
    <w:rsid w:val="00A9461F"/>
    <w:rsid w:val="00A96258"/>
    <w:rsid w:val="00A974BF"/>
    <w:rsid w:val="00AA0D98"/>
    <w:rsid w:val="00AA29AA"/>
    <w:rsid w:val="00AB5BE4"/>
    <w:rsid w:val="00AB71BA"/>
    <w:rsid w:val="00AB7F62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1875"/>
    <w:rsid w:val="00B0321F"/>
    <w:rsid w:val="00B1096B"/>
    <w:rsid w:val="00B2081E"/>
    <w:rsid w:val="00B24737"/>
    <w:rsid w:val="00B26430"/>
    <w:rsid w:val="00B306AF"/>
    <w:rsid w:val="00B4063B"/>
    <w:rsid w:val="00B42AA7"/>
    <w:rsid w:val="00B458F2"/>
    <w:rsid w:val="00B618D9"/>
    <w:rsid w:val="00B61A84"/>
    <w:rsid w:val="00B61B06"/>
    <w:rsid w:val="00B668C1"/>
    <w:rsid w:val="00B70BDA"/>
    <w:rsid w:val="00B74901"/>
    <w:rsid w:val="00B76889"/>
    <w:rsid w:val="00B87654"/>
    <w:rsid w:val="00B87D7E"/>
    <w:rsid w:val="00B9004C"/>
    <w:rsid w:val="00BA4995"/>
    <w:rsid w:val="00BA6EB1"/>
    <w:rsid w:val="00BA7A07"/>
    <w:rsid w:val="00BB1753"/>
    <w:rsid w:val="00BB6989"/>
    <w:rsid w:val="00BB7EE9"/>
    <w:rsid w:val="00BC26FA"/>
    <w:rsid w:val="00BC3786"/>
    <w:rsid w:val="00BD500F"/>
    <w:rsid w:val="00BE59EA"/>
    <w:rsid w:val="00BF2955"/>
    <w:rsid w:val="00C040F0"/>
    <w:rsid w:val="00C118D7"/>
    <w:rsid w:val="00C20E9A"/>
    <w:rsid w:val="00C249BC"/>
    <w:rsid w:val="00C315B2"/>
    <w:rsid w:val="00C31681"/>
    <w:rsid w:val="00C4410B"/>
    <w:rsid w:val="00C45C44"/>
    <w:rsid w:val="00C51F22"/>
    <w:rsid w:val="00C53A65"/>
    <w:rsid w:val="00C843BC"/>
    <w:rsid w:val="00C85175"/>
    <w:rsid w:val="00C86991"/>
    <w:rsid w:val="00C8774D"/>
    <w:rsid w:val="00C94B5F"/>
    <w:rsid w:val="00C95D9D"/>
    <w:rsid w:val="00CA4357"/>
    <w:rsid w:val="00CB2007"/>
    <w:rsid w:val="00CB3BA8"/>
    <w:rsid w:val="00CD6B04"/>
    <w:rsid w:val="00CD7684"/>
    <w:rsid w:val="00CE1C60"/>
    <w:rsid w:val="00CF1A14"/>
    <w:rsid w:val="00D0635C"/>
    <w:rsid w:val="00D0699A"/>
    <w:rsid w:val="00D20D04"/>
    <w:rsid w:val="00D213BD"/>
    <w:rsid w:val="00D22C5C"/>
    <w:rsid w:val="00D31699"/>
    <w:rsid w:val="00D35B12"/>
    <w:rsid w:val="00D45AAC"/>
    <w:rsid w:val="00D534E7"/>
    <w:rsid w:val="00D53813"/>
    <w:rsid w:val="00D57B2C"/>
    <w:rsid w:val="00D6078F"/>
    <w:rsid w:val="00D66EC5"/>
    <w:rsid w:val="00D734AF"/>
    <w:rsid w:val="00D75220"/>
    <w:rsid w:val="00D7546B"/>
    <w:rsid w:val="00D75B93"/>
    <w:rsid w:val="00D93679"/>
    <w:rsid w:val="00D97C26"/>
    <w:rsid w:val="00DA057B"/>
    <w:rsid w:val="00DA2376"/>
    <w:rsid w:val="00DA2CB7"/>
    <w:rsid w:val="00DB0F4B"/>
    <w:rsid w:val="00DB1940"/>
    <w:rsid w:val="00DB5592"/>
    <w:rsid w:val="00DC42AA"/>
    <w:rsid w:val="00DC7925"/>
    <w:rsid w:val="00DD0E11"/>
    <w:rsid w:val="00DD1EBB"/>
    <w:rsid w:val="00DD313E"/>
    <w:rsid w:val="00DD4683"/>
    <w:rsid w:val="00DE1F0E"/>
    <w:rsid w:val="00DE3421"/>
    <w:rsid w:val="00DE56DD"/>
    <w:rsid w:val="00DF3D08"/>
    <w:rsid w:val="00DF46D9"/>
    <w:rsid w:val="00DF79CA"/>
    <w:rsid w:val="00E0460F"/>
    <w:rsid w:val="00E07031"/>
    <w:rsid w:val="00E079D0"/>
    <w:rsid w:val="00E07D37"/>
    <w:rsid w:val="00E20156"/>
    <w:rsid w:val="00E22B33"/>
    <w:rsid w:val="00E23B66"/>
    <w:rsid w:val="00E2661C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83BD1"/>
    <w:rsid w:val="00E85A38"/>
    <w:rsid w:val="00E91353"/>
    <w:rsid w:val="00E92C28"/>
    <w:rsid w:val="00EA6353"/>
    <w:rsid w:val="00EB0559"/>
    <w:rsid w:val="00EB7A1F"/>
    <w:rsid w:val="00EC0605"/>
    <w:rsid w:val="00EC4CE1"/>
    <w:rsid w:val="00ED1B20"/>
    <w:rsid w:val="00ED20A6"/>
    <w:rsid w:val="00ED229D"/>
    <w:rsid w:val="00EE4F5C"/>
    <w:rsid w:val="00EE6CDC"/>
    <w:rsid w:val="00EF2FB0"/>
    <w:rsid w:val="00EF6391"/>
    <w:rsid w:val="00EF7799"/>
    <w:rsid w:val="00F00F8F"/>
    <w:rsid w:val="00F027B9"/>
    <w:rsid w:val="00F15784"/>
    <w:rsid w:val="00F16C0E"/>
    <w:rsid w:val="00F17DDA"/>
    <w:rsid w:val="00F17F7C"/>
    <w:rsid w:val="00F22026"/>
    <w:rsid w:val="00F2625C"/>
    <w:rsid w:val="00F47C01"/>
    <w:rsid w:val="00F5038E"/>
    <w:rsid w:val="00F505E4"/>
    <w:rsid w:val="00F56534"/>
    <w:rsid w:val="00F725A6"/>
    <w:rsid w:val="00F746A0"/>
    <w:rsid w:val="00F77BEC"/>
    <w:rsid w:val="00F84734"/>
    <w:rsid w:val="00F849CD"/>
    <w:rsid w:val="00F90D0F"/>
    <w:rsid w:val="00F93588"/>
    <w:rsid w:val="00F94889"/>
    <w:rsid w:val="00FA62DF"/>
    <w:rsid w:val="00FB5053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AB1FFD-C078-46A8-A120-1427C84BC4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GIULIA BENINATI</cp:lastModifiedBy>
  <cp:revision>3</cp:revision>
  <cp:lastPrinted>2021-09-27T13:27:00Z</cp:lastPrinted>
  <dcterms:created xsi:type="dcterms:W3CDTF">2024-09-11T07:52:00Z</dcterms:created>
  <dcterms:modified xsi:type="dcterms:W3CDTF">2024-09-11T13:51:00Z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